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09e0a1e8d41f6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interaction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interaction designer is an expert practitioner who influences and mentors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set direction and assure the quality of design delivery across teams</w:t>
      </w:r>
    </w:p>
    <w:p>
      <w:r>
        <w:t xml:space="preserve">• lead multiple or highly complex services</w:t>
      </w:r>
    </w:p>
    <w:p>
      <w:r>
        <w:t xml:space="preserve">In the Department for Education you will:</w:t>
      </w:r>
    </w:p>
    <w:p>
      <w:r>
        <w:t xml:space="preserve">• set direction and assure the quality of design delivery across teams</w:t>
      </w:r>
    </w:p>
    <w:p>
      <w:r>
        <w:t xml:space="preserve">• lead the design of multiple or highly complex services, ensuring user needs are met effectively</w:t>
      </w:r>
    </w:p>
    <w:p>
      <w:r>
        <w:t xml:space="preserve">• collaborate with service managers, programme directors, and other leaders to develop and implement design concepts that align with organisational goals</w:t>
      </w:r>
    </w:p>
    <w:p>
      <w:r>
        <w:t xml:space="preserve">• advocate for user-centred design, influencing senior stakeholders and promoting design practices across organisational boundaries</w:t>
      </w:r>
    </w:p>
    <w:p>
      <w:r>
        <w:t xml:space="preserve">• mentor and coach designers to improve team capability and foster a culture of continuous learning and collaboration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strong ability to gain support for design decisions and strategy from senior leaders and stakeholders</w:t>
      </w:r>
    </w:p>
    <w:p>
      <w:r>
        <w:t xml:space="preserve">• expertise in designing and delivering inclusive, accessible, and sustainable services that meet diverse user needs</w:t>
      </w:r>
    </w:p>
    <w:p>
      <w:r>
        <w:t xml:space="preserve">• proven capability in aligning design work with organisational goals and adapting to risks, opportunities, and constraints</w:t>
      </w:r>
    </w:p>
    <w:p>
      <w:r>
        <w:t xml:space="preserve">• excellent communication skills to explain complex design concepts and build consensus across diverse audiences</w:t>
      </w:r>
    </w:p>
    <w:p>
      <w:r>
        <w:t xml:space="preserve">• ability to lead design sessions, effectively engaging with senior leaders, stakeholders, and other UCD professions to shape outcomes</w:t>
      </w:r>
    </w:p>
    <w:p>
      <w:r>
        <w:t xml:space="preserve">• expert in using patterns and components to create consistency across services</w:t>
      </w:r>
    </w:p>
    <w:p>
      <w:r>
        <w:t xml:space="preserve">It is desirable if you can demonstrate the following:</w:t>
      </w:r>
    </w:p>
    <w:p>
      <w:r>
        <w:t xml:space="preserve">• experience setting a vision for and leading design across multiple teams</w:t>
      </w:r>
    </w:p>
    <w:p>
      <w:r>
        <w:t xml:space="preserve">• strong analytical and strategic thinking skills to influence organisational priorities and processes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34ae3f448b412a" /></Relationships>
</file>